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4F" w:rsidRDefault="004A214F">
      <w:pPr>
        <w:widowControl/>
        <w:jc w:val="center"/>
        <w:rPr>
          <w:b/>
          <w:bCs/>
          <w:sz w:val="25"/>
          <w:szCs w:val="25"/>
        </w:rPr>
      </w:pPr>
      <w:bookmarkStart w:id="0" w:name="_GoBack"/>
      <w:bookmarkEnd w:id="0"/>
      <w:r>
        <w:rPr>
          <w:b/>
          <w:bCs/>
          <w:sz w:val="25"/>
          <w:szCs w:val="25"/>
        </w:rPr>
        <w:t xml:space="preserve">Сведения о научной и учебно-методической литературе, опубликованной сотрудниками ИГУ в 2017 году  </w:t>
      </w:r>
    </w:p>
    <w:p w:rsidR="004A214F" w:rsidRDefault="004A214F">
      <w:pPr>
        <w:widowControl/>
        <w:rPr>
          <w:sz w:val="22"/>
          <w:szCs w:val="22"/>
        </w:rPr>
      </w:pPr>
      <w:r>
        <w:rPr>
          <w:sz w:val="22"/>
          <w:szCs w:val="22"/>
        </w:rPr>
        <w:t xml:space="preserve"> </w:t>
      </w:r>
    </w:p>
    <w:p w:rsidR="004A214F" w:rsidRDefault="004A214F">
      <w:pPr>
        <w:widowControl/>
        <w:jc w:val="center"/>
        <w:rPr>
          <w:b/>
          <w:bCs/>
          <w:sz w:val="25"/>
          <w:szCs w:val="25"/>
        </w:rPr>
      </w:pPr>
      <w:r>
        <w:rPr>
          <w:b/>
          <w:bCs/>
          <w:sz w:val="25"/>
          <w:szCs w:val="25"/>
        </w:rPr>
        <w:t xml:space="preserve">СБОРНИКИ НАУЧНЫХ ТРУДОВ  </w:t>
      </w:r>
    </w:p>
    <w:p w:rsidR="004A214F" w:rsidRDefault="004A214F">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567"/>
        <w:gridCol w:w="3969"/>
        <w:gridCol w:w="4536"/>
        <w:gridCol w:w="1134"/>
        <w:gridCol w:w="1134"/>
        <w:gridCol w:w="3969"/>
      </w:tblGrid>
      <w:tr w:rsidR="004A214F">
        <w:tblPrEx>
          <w:tblCellMar>
            <w:top w:w="0" w:type="dxa"/>
            <w:bottom w:w="0" w:type="dxa"/>
          </w:tblCellMar>
        </w:tblPrEx>
        <w:trPr>
          <w:tblHeader/>
        </w:trPr>
        <w:tc>
          <w:tcPr>
            <w:tcW w:w="567"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п/п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Ф.И.О. авторов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Название сборника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Объем п.л.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Тираж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widowControl/>
              <w:jc w:val="center"/>
              <w:rPr>
                <w:sz w:val="22"/>
                <w:szCs w:val="22"/>
              </w:rPr>
            </w:pPr>
            <w:r>
              <w:rPr>
                <w:sz w:val="22"/>
                <w:szCs w:val="22"/>
              </w:rPr>
              <w:t xml:space="preserve">  Издательство, гриф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4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6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Биолого-почвенный факультет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Материалы VII региональной научно-практической студенческой конференции «Почвы как связующее звено в функционировании экосистем» и VII межрегиональной конференции школьников «Почвы и экология», посвященных Международному дню Земли, Году экологии и ООПТ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б) Институт филологии, иностранных языков и медиакоммуникации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Брюханова Ю.М. (шт.). Дулова Н.В. (шт.). Иванова В.Я. (шт.). Меркулова О.Н. (шт.). Подрезова Н.Н. (шт.). Смирнов С.Р.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Александр Вампилов и Валентин Распутин: творческий потенциал «иркутской истории» : материалы Междунар. науч. конф.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22.1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в) Исторический факультет, Кафедра Политологии и отечественной истории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Иванов А.А.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Сибирская ссылка. Вып. 8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300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г) Международный институт экономики и лингвистики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Крайнова Е.В.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Вестник Международного института экономики и лингвистики Серия "Восточные языки"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8.4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75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д) Научно-исследовательский институт прикладной физики (НИИПФ)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Martynovich E.F. (совм.).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Luminescence and Laser Physics - 2016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6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Мартынович Е.Ф. (совм.).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Люминесценция и лазерная физика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е) Педагогический институт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7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Гаращенко Л.В. (шт.). Голубчикова М.Г. (шт.). Ильясова И.С. (шт.). Косогова А.С. (шт.). Лапина О.А. (шт.). Никитина Е.А. (шт.). Подлиняев О.Л. (шт.). Федотова Е.А. (шт.). Харченко </w:t>
            </w:r>
            <w:r>
              <w:rPr>
                <w:sz w:val="22"/>
                <w:szCs w:val="22"/>
              </w:rPr>
              <w:lastRenderedPageBreak/>
              <w:t xml:space="preserve">С.А. (шт.). Шишарина Н.В.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lastRenderedPageBreak/>
              <w:t xml:space="preserve">  Профессиональное развитие педагога. Сборник материалов Второй Международной научно-практической конференции   (25-30 апреля 2017г.).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26.5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Издательство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lastRenderedPageBreak/>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lastRenderedPageBreak/>
              <w:t xml:space="preserve">8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Гусевская О.В.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II Региональные интеллектуальные соревнования школьников и студентов «ШКОЛА и ОБЩЕСТВО»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4.89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ООО «Типография «Иркут»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9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Гусевская О.В. (шт.). Петрова М.А. (шт.). Калинина Л.В. (шт.). Жданова Е.А. (шт.). Попова И.М.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Дошкольное и начальное общее образование: стратегия развития в современных условиях: секция «Начальное общее образование»: материалы Всероссийской заочной научно-практической конференции с международным участием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ООО «Типография «Иркут»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Зайцева О.Ю.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Дошкольное образование: шаги к успеху. Педагогические идеи развития инициативности, самстоятельности детей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24.25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130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МЦПТИ "Микс"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Федорюк А.В.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Иностранные языки: лингвистические и лингводидактические аспекты: Материалы конференции по итогам НИР за 2016 г.и смотра студенческих научных трудов.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9.8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OOO "Репроцентр А1"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12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Иванова Е.Н. (шт.). Лесников И.Н. (шт.). Новгородцева Т.Ю. (совм.). Пегасова Н.А. (совм.).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Материалы V Всероссийской научно-практической конференции преподавателей школ, инновационных образовательных организаций и вузов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13.7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ООО "Издательство Оттиск"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Гусевская О.В. (шт.). Гладун Л.А.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Научный поиск: Первые шаги : материалы 71-го смотра студенческих научно-исследовательских работ отделения пед., соц. и спец. образования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8.8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Иркутский государственный университет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14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Истомина О.Б. (шт.). Лохтина Т.Н. (шт.). Метелица В.И.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Научный поиск: первые шаги: Материалы 71-го смотра студенческих научных работ (19 апреля 2017 года)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8.5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Федосова И.В. (шт.). Бабицкая Л.А. (шт.). Беринская И.В. (шт.). Бубнова И.С. (шт.). Гордин А.И. (совм.). Гордина О.В. (шт.). Кибальник А.В. (шт.). Костин А.К. (шт.). Рерке В.И. (шт.). Ушева Т.Ф. (шт.). Лапина О.А.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Непрерывное образование как условие устойчивого развития личности и общества- материалы Международной научно-практической конференции (Иркутск, 4 октября 2017 г)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19.13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Издательство "Иркут"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16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Русаков А.А.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Проблемы и пути совершенствования </w:t>
            </w:r>
            <w:r>
              <w:rPr>
                <w:sz w:val="22"/>
                <w:szCs w:val="22"/>
              </w:rPr>
              <w:lastRenderedPageBreak/>
              <w:t xml:space="preserve">физической культуры в системе образования: Мате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lastRenderedPageBreak/>
              <w:t xml:space="preserve"> 18.75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ООО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lastRenderedPageBreak/>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lastRenderedPageBreak/>
              <w:t xml:space="preserve">17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Истомина О.Б. (шт.). Лохтина Т.Н. (шт.). Метелица В.И. (шт.). Томских Е.О.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Социальные процессы в современном российском обществе: проблемы и перспективы: материалы Всероссийской с международным участием научной конференции.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25.25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18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Удова О.В.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Экология современной семьи: ценности, традиции, установки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18.75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Издательство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ж) Социологическая лаборатория региональных проблем и инноваций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19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Грабельных Т.И. (шт.). Аргучинцев А.В.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Социально-демографические процессы в XXI веке : кризис, вызовы, стратегии безопасности : сб. науч. тр. / ФГБОУ ВО "ИГУ"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20.6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170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Оперативная типография На Чехова, ООО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з) Социологическая лаборатория региональных проблем и инноваций, Институт социальных наук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Грабельных Т.И. (шт.). Кузьмина Е.С. (шт.). Саблина Н.А.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Галерея отзывов работодателей Иркутской области по направлениям подготовки 39.03.01, 39.04.01 Социология по состоянию на 1 сентября 2017 г. : 2-е издание / Предисловие Т. И. Грабельных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сост.: Грабельных Т. И., Кузьмина Е. С., Саблина Н. А. – Иркутск: ИСН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6.8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Грабельных Т.И. (шт.). Кузьмина Е.С.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Информационная карта вакантных мест по основным видам профессиональной социологической деятельности в России на 10 июля 2017 г.: по данным официальных сайтов / под ред. д-ра социол. наук, проф. Т. И. Грабельных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исслед. коллектив: Грабельных Т. И., Кузьми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1.7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22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Грабельных Т.И.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Политический консенсус в ХХI веке: противодействие идеологии терроризма и обеспечение безопасности : сб. науч. тр. / ФГБОУ ВО «ИГУ»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[науч. ред.: Т. И. Грабельных]. – Иркутск : </w:t>
            </w:r>
            <w:r>
              <w:rPr>
                <w:sz w:val="22"/>
                <w:szCs w:val="22"/>
              </w:rPr>
              <w:lastRenderedPageBreak/>
              <w:t xml:space="preserve">Изд-во ИГУ, 2017. – 366 с.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lastRenderedPageBreak/>
              <w:t xml:space="preserve"> 23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gridSpan w:val="0"/>
          </w:tcPr>
          <w:p w:rsidR="004A214F" w:rsidRDefault="004A214F">
            <w:pPr>
              <w:widowControl/>
              <w:autoSpaceDE/>
              <w:autoSpaceDN/>
              <w:adjustRightInd/>
              <w:spacing w:after="200" w:line="276" w:lineRule="auto"/>
              <w:rPr>
                <w:sz w:val="22"/>
                <w:szCs w:val="22"/>
              </w:rPr>
            </w:pPr>
            <w:r>
              <w:rPr>
                <w:sz w:val="22"/>
                <w:szCs w:val="22"/>
              </w:rPr>
              <w:lastRenderedPageBreak/>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lastRenderedPageBreak/>
              <w:t xml:space="preserve">23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Грабельных Т.И. (шт.). Кузьмина Е.С. (шт.). Саблина Н.А. (шт.). Лукьянов К.Ю.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Современные технологии партнерства университета с работодателями в нестабильных условиях (профессиональные стандарты, профессиональные компетенции, профессиональная культура, трудовые функции)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11.6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Иркутск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и) УП Зональная научная библиотека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24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Подгайченко Р.В. (шт.). Белоус И.П.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Библиотеки вузов в XXI веке: современные и перспективные направления деятельности в сфере науки и образования : материалы Всерос. науч.-практ. конф. с междунар. участием. Иркутск, 25-27 апр. 2017 г.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11.6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60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РИО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й) Факультет сервиса и рекламы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Рохин А.В. (шт.). Кузнецова М.В. (шт.). Сыклен А.Е.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Коммуникационные технологии: социально-экономические и информационные аспекты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18.8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ООО ЦентрНауч Сервис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26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Калюжнова Н.Я. (шт.). Сысоева Н.М. (совм.). Рохин А.В. (шт.). Карнаухова В.К.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Стратегические направления повышения конкурентоспособности национальной и региональной экономики в современных условиях: Материалы Всероссийской научно-практической конференции, 20 ноября - 19 декабря 2016 года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11.2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ООО ЦентрНауч Сервис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к) Юридический институт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27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Курас Т.Л.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Актуальные проблемы правотворчества и правоприменительной деятельности в Российской Федерации : материалы межвуз. науч. студ. конф. Иркутск, 15 апр. 2017 г.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35.3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28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Шорников Д.В.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Право и этика в глобальном обществе риска : IX Байкальская междунар. прав. шк. (22-28 авг. 2016 г.) : материалы / ФГБОУ ВО «ИГУ», Юрид. ин-т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20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01.00.00 Физико-математические науки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lastRenderedPageBreak/>
              <w:t xml:space="preserve">а) Педагогический институт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29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Дулатова З.А.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Математика и проблемы обучения математике в общем и профессиональном образовании: материалы X Всероссийской научно-практической конференции, посвященной 90-летию со дня рождения профессора Б.А. Бельтюкова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16.7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"Оттиск", ООО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02.00.00 Химические науки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Химический факультет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Байкальская школа-конференция по химии - 2017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Издательство "Оттиск"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03.02.00 Общая биология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Биолого-почвенный факультет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ГОСУДАРСТВЕННОГO УНИВЕРСИТЕТА. СЕРИЯ: БИОЛОГИЯ. ЭКОЛОГИЯ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5.6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32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СEРИЯ: БИОЛОГИЯ. ЭКОЛОГИЯ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СЕРИЯ: БИОЛОГИЯ. ЭКОЛOГИЯ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34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СЕРИЯ: БИОЛОГИЯ. ЭКОЛОГИЯ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07.00.00 Исторические науки и археология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Исторический факультет, Кафедра Политологии и отечественной истории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Зуляр Ю.А.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Десятые Байкальские социально-гуманитарные чтения. В 2 т. Т.1. мат-лы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94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36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Серебряков Е.А. (совм.).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История развития пионерского движения в Иркутской области в XX веке (по материалам ГАНИИО)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300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Оттиск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08.00.00 Экономические науки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lastRenderedPageBreak/>
              <w:t xml:space="preserve">а) Международный институт экономики и лингвистики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37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Андрухова В.Я. (шт.). Саловарова В.П.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Оценка качества и безопасность потребительских товаров  ..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11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г. Иркутск: ФГБОУ 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38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Андрухова В.Я. (шт.). Архипкин О.В. (шт.). Голик С.А.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Современные проблемы образования и науки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18.4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ФГБОУ ВО "ИГУ",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13.00.00 Педагогические науки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Педагогический институт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39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Позднякова Т.И. (шт.). Лосева С.Н.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Современные методические направления в области музыкального образования выпуск 2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6.3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ФГБОУ ВО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б) Педагогический институт, Кафедра технологий, предпринимательства и методик их преподавания (ТПиМП)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Тимошенко А.И.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Технологическое и профессиональное образование: проблемы и перспективы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18.75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130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в) Физкультурно-оздоровительный центр ИГУ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41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Физическая культура, спорт, туризм в жизни современной нации (материалы Международной научно-методической конференции, посвященной 70-летию кафедры физкультурно-оздоровительного центра Иркутского государственного университета)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300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Иркутский государственный университет,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t xml:space="preserve">41.00.00 Политические науки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Исторический факультет, Кафедра Политологии и отечественной истории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42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Серия "Политология. Религиоведение "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43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Серия "Политология. Религиоведение"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11.3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500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44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 Серия "Политология.Религиоведение"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Иркутск: ИГУ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45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Известия Иркутского государственного университета.Серия "Политология. Религиоведение"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30"/>
                <w:szCs w:val="30"/>
              </w:rPr>
            </w:pPr>
            <w:r>
              <w:rPr>
                <w:b/>
                <w:bCs/>
                <w:sz w:val="30"/>
                <w:szCs w:val="30"/>
              </w:rPr>
              <w:lastRenderedPageBreak/>
              <w:t xml:space="preserve">филологические науки литературоведение </w:t>
            </w:r>
          </w:p>
        </w:tc>
        <w:tc>
          <w:p w:rsidR="004A214F" w:rsidRDefault="004A214F">
            <w:pPr>
              <w:widowControl/>
              <w:autoSpaceDE/>
              <w:autoSpaceDN/>
              <w:adjustRightInd/>
              <w:spacing w:after="200" w:line="276" w:lineRule="auto"/>
              <w:rPr>
                <w:b/>
                <w:bCs/>
                <w:sz w:val="30"/>
                <w:szCs w:val="30"/>
              </w:rPr>
            </w:pPr>
            <w:r>
              <w:rPr>
                <w:b/>
                <w:bCs/>
                <w:sz w:val="30"/>
                <w:szCs w:val="30"/>
              </w:rPr>
              <w:t xml:space="preserve"> </w:t>
            </w:r>
          </w:p>
        </w:tc>
      </w:tr>
      <w:tr w:rsidR="004A214F">
        <w:tblPrEx>
          <w:tblCellMar>
            <w:top w:w="0" w:type="dxa"/>
            <w:bottom w:w="0" w:type="dxa"/>
          </w:tblCellMar>
        </w:tblPrEx>
        <w:tc>
          <w:tcPr>
            <w:tcW w:w="15309" w:type="dxa"/>
            <w:gridSpan w:val="6"/>
            <w:tcBorders>
              <w:top w:val="single" w:sz="6" w:space="0" w:color="000000"/>
              <w:left w:val="single" w:sz="6" w:space="0" w:color="000000"/>
              <w:bottom w:val="single" w:sz="6" w:space="0" w:color="000000"/>
              <w:right w:val="single" w:sz="6" w:space="0" w:color="000000"/>
            </w:tcBorders>
          </w:tcPr>
          <w:p w:rsidR="004A214F" w:rsidRDefault="004A214F">
            <w:pPr>
              <w:rPr>
                <w:b/>
                <w:bCs/>
                <w:sz w:val="25"/>
                <w:szCs w:val="25"/>
              </w:rPr>
            </w:pPr>
            <w:r>
              <w:rPr>
                <w:b/>
                <w:bCs/>
                <w:sz w:val="25"/>
                <w:szCs w:val="25"/>
              </w:rPr>
              <w:t xml:space="preserve">а) Педагогический институт </w:t>
            </w:r>
          </w:p>
        </w:tc>
        <w:tc>
          <w:p w:rsidR="004A214F" w:rsidRDefault="004A214F">
            <w:pPr>
              <w:widowControl/>
              <w:autoSpaceDE/>
              <w:autoSpaceDN/>
              <w:adjustRightInd/>
              <w:spacing w:after="200" w:line="276" w:lineRule="auto"/>
              <w:rPr>
                <w:b/>
                <w:bCs/>
                <w:sz w:val="25"/>
                <w:szCs w:val="25"/>
              </w:rPr>
            </w:pPr>
            <w:r>
              <w:rPr>
                <w:b/>
                <w:bCs/>
                <w:sz w:val="25"/>
                <w:szCs w:val="25"/>
              </w:rPr>
              <w:t xml:space="preserve"> </w:t>
            </w:r>
          </w:p>
        </w:tc>
      </w:tr>
      <w:tr w:rsidR="004A214F">
        <w:tblPrEx>
          <w:tblCellMar>
            <w:top w:w="0" w:type="dxa"/>
            <w:bottom w:w="0" w:type="dxa"/>
          </w:tblCellMar>
        </w:tblPrEx>
        <w:tc>
          <w:tcPr>
            <w:tcW w:w="567"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46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Шерстяных И.В. (шт.).  </w:t>
            </w:r>
          </w:p>
        </w:tc>
        <w:tc>
          <w:tcPr>
            <w:tcW w:w="4536"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Состояние и перспективы преподавания русского языка и литературы в современном образовательном пространстве: Материалы XXIV научно-практической конференции, посвященной памяти профессора В. Д. Кудрявцева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16.5 </w:t>
            </w:r>
          </w:p>
        </w:tc>
        <w:tc>
          <w:tcPr>
            <w:tcW w:w="1134"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100 </w:t>
            </w:r>
          </w:p>
        </w:tc>
        <w:tc>
          <w:tcPr>
            <w:tcW w:w="3969"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Издательство "Аспринт"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bl>
    <w:p w:rsidR="004A214F" w:rsidRDefault="004A214F">
      <w:pPr>
        <w:widowControl/>
        <w:jc w:val="center"/>
        <w:rPr>
          <w:b/>
          <w:bCs/>
          <w:sz w:val="25"/>
          <w:szCs w:val="25"/>
        </w:rPr>
      </w:pPr>
      <w:r>
        <w:rPr>
          <w:b/>
          <w:bCs/>
          <w:sz w:val="25"/>
          <w:szCs w:val="25"/>
        </w:rPr>
        <w:t xml:space="preserve"> </w:t>
      </w:r>
    </w:p>
    <w:p w:rsidR="004A214F" w:rsidRDefault="004A214F">
      <w:pPr>
        <w:widowControl/>
        <w:rPr>
          <w:sz w:val="22"/>
          <w:szCs w:val="22"/>
        </w:rPr>
      </w:pPr>
      <w:r>
        <w:rPr>
          <w:sz w:val="22"/>
          <w:szCs w:val="2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103"/>
        <w:gridCol w:w="2268"/>
      </w:tblGrid>
      <w:tr w:rsidR="004A214F">
        <w:tblPrEx>
          <w:tblCellMar>
            <w:top w:w="0" w:type="dxa"/>
            <w:left w:w="0" w:type="dxa"/>
            <w:bottom w:w="0" w:type="dxa"/>
            <w:right w:w="0" w:type="dxa"/>
          </w:tblCellMar>
        </w:tblPrEx>
        <w:tc>
          <w:tcPr>
            <w:tcW w:w="5103" w:type="dxa"/>
            <w:tcBorders>
              <w:top w:val="single" w:sz="4" w:space="0" w:color="auto"/>
              <w:left w:val="single" w:sz="4" w:space="0" w:color="auto"/>
              <w:bottom w:val="single" w:sz="4" w:space="0" w:color="auto"/>
              <w:right w:val="single" w:sz="4" w:space="0" w:color="auto"/>
            </w:tcBorders>
          </w:tcPr>
          <w:p w:rsidR="004A214F" w:rsidRDefault="004A214F">
            <w:pPr>
              <w:rPr>
                <w:sz w:val="22"/>
                <w:szCs w:val="22"/>
              </w:rPr>
            </w:pPr>
            <w:r>
              <w:rPr>
                <w:sz w:val="22"/>
                <w:szCs w:val="22"/>
              </w:rPr>
              <w:t xml:space="preserve">Сборники научных трудов, всего, в том числе изданные: </w:t>
            </w:r>
          </w:p>
        </w:tc>
        <w:tc>
          <w:tcPr>
            <w:tcW w:w="2268" w:type="dxa"/>
            <w:tcBorders>
              <w:top w:val="single" w:sz="4" w:space="0" w:color="auto"/>
              <w:left w:val="single" w:sz="4" w:space="0" w:color="auto"/>
              <w:bottom w:val="single" w:sz="4" w:space="0" w:color="auto"/>
              <w:right w:val="single" w:sz="4" w:space="0" w:color="auto"/>
            </w:tcBorders>
          </w:tcPr>
          <w:p w:rsidR="004A214F" w:rsidRDefault="004A214F">
            <w:pPr>
              <w:jc w:val="center"/>
              <w:rPr>
                <w:sz w:val="22"/>
                <w:szCs w:val="22"/>
              </w:rPr>
            </w:pPr>
            <w:r>
              <w:rPr>
                <w:sz w:val="22"/>
                <w:szCs w:val="22"/>
              </w:rPr>
              <w:t xml:space="preserve"> 46</w:t>
            </w:r>
          </w:p>
        </w:tc>
      </w:tr>
      <w:tr w:rsidR="004A214F">
        <w:tblPrEx>
          <w:tblCellMar>
            <w:top w:w="0" w:type="dxa"/>
            <w:left w:w="108" w:type="dxa"/>
            <w:bottom w:w="0" w:type="dxa"/>
            <w:right w:w="108" w:type="dxa"/>
          </w:tblCellMar>
        </w:tblPrEx>
        <w:tc>
          <w:tcPr>
            <w:tcW w:w="5103"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международных и всероссийских конференций, симпозиумов и т.п.  </w:t>
            </w:r>
          </w:p>
        </w:tc>
        <w:tc>
          <w:tcPr>
            <w:tcW w:w="2268"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1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r w:rsidR="004A214F">
        <w:tblPrEx>
          <w:tblCellMar>
            <w:top w:w="0" w:type="dxa"/>
            <w:left w:w="108" w:type="dxa"/>
            <w:bottom w:w="0" w:type="dxa"/>
            <w:right w:w="108" w:type="dxa"/>
          </w:tblCellMar>
        </w:tblPrEx>
        <w:tc>
          <w:tcPr>
            <w:tcW w:w="5103" w:type="dxa"/>
            <w:tcBorders>
              <w:top w:val="single" w:sz="6" w:space="0" w:color="000000"/>
              <w:left w:val="single" w:sz="6" w:space="0" w:color="000000"/>
              <w:bottom w:val="single" w:sz="6" w:space="0" w:color="000000"/>
              <w:right w:val="single" w:sz="6" w:space="0" w:color="000000"/>
            </w:tcBorders>
          </w:tcPr>
          <w:p w:rsidR="004A214F" w:rsidRDefault="004A214F">
            <w:pPr>
              <w:rPr>
                <w:sz w:val="22"/>
                <w:szCs w:val="22"/>
              </w:rPr>
            </w:pPr>
            <w:r>
              <w:rPr>
                <w:sz w:val="22"/>
                <w:szCs w:val="22"/>
              </w:rPr>
              <w:t xml:space="preserve"> - другие сборники  </w:t>
            </w:r>
          </w:p>
        </w:tc>
        <w:tc>
          <w:tcPr>
            <w:tcW w:w="2268" w:type="dxa"/>
            <w:tcBorders>
              <w:top w:val="single" w:sz="6" w:space="0" w:color="000000"/>
              <w:left w:val="single" w:sz="6" w:space="0" w:color="000000"/>
              <w:bottom w:val="single" w:sz="6" w:space="0" w:color="000000"/>
              <w:right w:val="single" w:sz="6" w:space="0" w:color="000000"/>
            </w:tcBorders>
          </w:tcPr>
          <w:p w:rsidR="004A214F" w:rsidRDefault="004A214F">
            <w:pPr>
              <w:jc w:val="center"/>
              <w:rPr>
                <w:sz w:val="22"/>
                <w:szCs w:val="22"/>
              </w:rPr>
            </w:pPr>
            <w:r>
              <w:rPr>
                <w:sz w:val="22"/>
                <w:szCs w:val="22"/>
              </w:rPr>
              <w:t xml:space="preserve"> 45 </w:t>
            </w:r>
          </w:p>
        </w:tc>
        <w:tc>
          <w:tcPr>
            <w:gridSpan w:val="0"/>
          </w:tcPr>
          <w:p w:rsidR="004A214F" w:rsidRDefault="004A214F">
            <w:pPr>
              <w:widowControl/>
              <w:autoSpaceDE/>
              <w:autoSpaceDN/>
              <w:adjustRightInd/>
              <w:spacing w:after="200" w:line="276" w:lineRule="auto"/>
              <w:rPr>
                <w:sz w:val="22"/>
                <w:szCs w:val="22"/>
              </w:rPr>
            </w:pPr>
            <w:r>
              <w:rPr>
                <w:sz w:val="22"/>
                <w:szCs w:val="22"/>
              </w:rPr>
              <w:t xml:space="preserve"> </w:t>
            </w:r>
          </w:p>
        </w:tc>
      </w:tr>
    </w:tbl>
    <w:p w:rsidR="004A214F" w:rsidRDefault="004A214F"/>
    <w:sectPr w:rsidR="004A214F">
      <w:footerReference w:type="default" r:id="rId7"/>
      <w:pgSz w:w="16840" w:h="11907" w:orient="landscape"/>
      <w:pgMar w:top="851" w:right="851" w:bottom="1021"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4F" w:rsidRDefault="004A214F">
      <w:r>
        <w:separator/>
      </w:r>
    </w:p>
  </w:endnote>
  <w:endnote w:type="continuationSeparator" w:id="0">
    <w:p w:rsidR="004A214F" w:rsidRDefault="004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39HrP36Dl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4F" w:rsidRDefault="004A214F">
    <w:pPr>
      <w:pStyle w:val="a5"/>
      <w:framePr w:wrap="auto" w:vAnchor="text" w:hAnchor="margin" w:xAlign="right" w:y="1"/>
      <w:tabs>
        <w:tab w:val="clear" w:pos="4153"/>
      </w:tabs>
    </w:pPr>
    <w:r>
      <w:fldChar w:fldCharType="begin"/>
    </w:r>
    <w:r>
      <w:instrText xml:space="preserve">PAGE  </w:instrText>
    </w:r>
    <w:r>
      <w:fldChar w:fldCharType="separate"/>
    </w:r>
    <w:r w:rsidR="008B05F4">
      <w:rPr>
        <w:noProof/>
      </w:rPr>
      <w:t>2</w:t>
    </w:r>
    <w:r>
      <w:fldChar w:fldCharType="end"/>
    </w:r>
    <w:r>
      <w:rPr>
        <w:rFonts w:ascii="C39HrP36DlTt" w:hAnsi="C39HrP36DlTt" w:cs="C39HrP36DlTt"/>
      </w:rPr>
      <w:t xml:space="preserve">     </w:t>
    </w:r>
  </w:p>
  <w:p w:rsidR="004A214F" w:rsidRDefault="004A214F">
    <w:pPr>
      <w:tabs>
        <w:tab w:val="left" w:pos="9940"/>
      </w:tabs>
      <w:ind w:right="360" w:firstLine="360"/>
      <w:rPr>
        <w:sz w:val="22"/>
        <w:szCs w:val="22"/>
      </w:rP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4F" w:rsidRDefault="004A214F">
      <w:r>
        <w:separator/>
      </w:r>
    </w:p>
  </w:footnote>
  <w:footnote w:type="continuationSeparator" w:id="0">
    <w:p w:rsidR="004A214F" w:rsidRDefault="004A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09"/>
    <w:rsid w:val="00407109"/>
    <w:rsid w:val="004A214F"/>
    <w:rsid w:val="008B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Константин Владимирович</dc:creator>
  <cp:lastModifiedBy>Иванов Константин Владимирович</cp:lastModifiedBy>
  <cp:revision>2</cp:revision>
  <dcterms:created xsi:type="dcterms:W3CDTF">2018-04-17T03:14:00Z</dcterms:created>
  <dcterms:modified xsi:type="dcterms:W3CDTF">2018-04-17T03:14:00Z</dcterms:modified>
</cp:coreProperties>
</file>